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CF25" w14:textId="77777777" w:rsidR="0015287D" w:rsidRDefault="00000000">
      <w:pPr>
        <w:pStyle w:val="Heading1"/>
      </w:pPr>
      <w:r>
        <w:t>F.M. Nelkin, LLC - Anti-Money Laundering &amp; Know Your Counterparty (KYC) Policy</w:t>
      </w:r>
    </w:p>
    <w:p w14:paraId="101EB581" w14:textId="77777777" w:rsidR="0015287D" w:rsidRDefault="00000000">
      <w:pPr>
        <w:pStyle w:val="Heading2"/>
      </w:pPr>
      <w:r>
        <w:t>Purpose:</w:t>
      </w:r>
    </w:p>
    <w:p w14:paraId="0525E165" w14:textId="77777777" w:rsidR="0015287D" w:rsidRDefault="00000000">
      <w:r>
        <w:t>This policy outlines F.M. Nelkin, LLC’s commitment to preventing the use of its operations for money laundering, terrorist financing, and other financial crimes. It ensures that the company complies with relevant regulations and best practices.</w:t>
      </w:r>
    </w:p>
    <w:p w14:paraId="194496C4" w14:textId="77777777" w:rsidR="0015287D" w:rsidRDefault="00000000">
      <w:pPr>
        <w:pStyle w:val="Heading2"/>
      </w:pPr>
      <w:r>
        <w:t>Key Provisions:</w:t>
      </w:r>
    </w:p>
    <w:p w14:paraId="7758A415" w14:textId="77777777" w:rsidR="0015287D" w:rsidRDefault="00000000">
      <w:pPr>
        <w:pStyle w:val="Heading3"/>
      </w:pPr>
      <w:r>
        <w:t>1. Appointment of MLRO</w:t>
      </w:r>
    </w:p>
    <w:p w14:paraId="1E9BB364" w14:textId="75D3D8EC" w:rsidR="0015287D" w:rsidRDefault="00000000">
      <w:r>
        <w:t xml:space="preserve">F.M. </w:t>
      </w:r>
      <w:proofErr w:type="gramStart"/>
      <w:r>
        <w:t>Nelkin,</w:t>
      </w:r>
      <w:proofErr w:type="gramEnd"/>
      <w:r>
        <w:t xml:space="preserve"> LLC has appointed a Money Laundering Reporting Officer (MLRO): </w:t>
      </w:r>
      <w:r w:rsidR="00497975">
        <w:t>Dan Moore</w:t>
      </w:r>
      <w:r>
        <w:t>. The MLRO is responsible for overseeing the implementation of this policy, monitoring compliance, conducting training, and reporting suspicious activity to the appropriate authorities.</w:t>
      </w:r>
    </w:p>
    <w:p w14:paraId="563DBD3F" w14:textId="77777777" w:rsidR="0015287D" w:rsidRDefault="00000000">
      <w:pPr>
        <w:pStyle w:val="Heading3"/>
      </w:pPr>
      <w:r>
        <w:t>2. KYC Checks on Suppliers and Customers</w:t>
      </w:r>
    </w:p>
    <w:p w14:paraId="19920363" w14:textId="77777777" w:rsidR="0015287D" w:rsidRDefault="00000000">
      <w:r>
        <w:t>Before engaging in business, thorough Know Your Counterparty (KYC) checks must be conducted on all customers and suppliers. This includes obtaining basic identifying information, understanding the nature of the business, and assessing the risk profile. No transactions should proceed without satisfactory completion of KYC procedures.</w:t>
      </w:r>
    </w:p>
    <w:p w14:paraId="1198BD37" w14:textId="77777777" w:rsidR="0015287D" w:rsidRDefault="00000000">
      <w:pPr>
        <w:pStyle w:val="Heading3"/>
      </w:pPr>
      <w:r>
        <w:t>3. Identity Verification of Beneficial Owners</w:t>
      </w:r>
    </w:p>
    <w:p w14:paraId="2B9FAF10" w14:textId="77777777" w:rsidR="0015287D" w:rsidRDefault="00000000">
      <w:r>
        <w:t>For entities, F.M. Nelkin, LLC must identify and verify the ultimate beneficial owners (UBOs) holding 25% or more ownership. This includes collecting full name, address, date of birth, and official identification documentation to ensure legitimacy and transparency.</w:t>
      </w:r>
    </w:p>
    <w:p w14:paraId="280BC89D" w14:textId="77777777" w:rsidR="0015287D" w:rsidRDefault="00000000">
      <w:pPr>
        <w:pStyle w:val="Heading3"/>
      </w:pPr>
      <w:r>
        <w:t>4. Verification Against Government Watchlists</w:t>
      </w:r>
    </w:p>
    <w:p w14:paraId="671BF3AB" w14:textId="77777777" w:rsidR="0015287D" w:rsidRDefault="00000000">
      <w:r>
        <w:t>All counterparties must be screened against government-issued sanctions and watchlists (e.g., OFAC, UN, EU lists). This process helps identify high-risk individuals or organizations involved in financial crimes or terrorism. Any positive match must be escalated to the MLRO immediately.</w:t>
      </w:r>
    </w:p>
    <w:p w14:paraId="365FCFA6" w14:textId="77777777" w:rsidR="0015287D" w:rsidRDefault="00000000">
      <w:pPr>
        <w:pStyle w:val="Heading3"/>
      </w:pPr>
      <w:r>
        <w:t>5. Record Retention of 5+ Years</w:t>
      </w:r>
    </w:p>
    <w:p w14:paraId="14ADD5B2" w14:textId="77777777" w:rsidR="0015287D" w:rsidRDefault="00000000">
      <w:r>
        <w:t>All KYC records, transaction details, and internal reports must be retained for at least five years from the date of the transaction or the end of the business relationship, whichever is later. Records must be securely stored and readily accessible for audits or regulatory review.</w:t>
      </w:r>
    </w:p>
    <w:p w14:paraId="6BEBBE97" w14:textId="77777777" w:rsidR="0015287D" w:rsidRDefault="00000000">
      <w:pPr>
        <w:pStyle w:val="Heading3"/>
      </w:pPr>
      <w:r>
        <w:t>6. Reporting of Suspicious Transactions Above $10,000</w:t>
      </w:r>
    </w:p>
    <w:p w14:paraId="4DFB9826" w14:textId="77777777" w:rsidR="0015287D" w:rsidRDefault="00000000">
      <w:r>
        <w:t xml:space="preserve">Any cash or non-cash transaction exceeding $10,000—or a series of linked transactions exceeding this threshold—must be reviewed for suspicious activity. If red flags are detected (e.g., inconsistencies, unverifiable sources of funds, reluctance to provide information), the </w:t>
      </w:r>
      <w:r>
        <w:lastRenderedPageBreak/>
        <w:t>MLRO must be notified immediately for escalation to the appropriate Financial Intelligence Unit (FIU).</w:t>
      </w:r>
    </w:p>
    <w:p w14:paraId="4808B5DB" w14:textId="77777777" w:rsidR="0015287D" w:rsidRDefault="00000000">
      <w:pPr>
        <w:pStyle w:val="Heading2"/>
      </w:pPr>
      <w:r>
        <w:t>Responsibility:</w:t>
      </w:r>
    </w:p>
    <w:p w14:paraId="11357A6A" w14:textId="77777777" w:rsidR="0015287D" w:rsidRDefault="00000000">
      <w:r>
        <w:t>The MLRO and Compliance Team are jointly responsible for ensuring the effective implementation of this policy. This includes regular staff training, ongoing monitoring, and prompt reporting of suspicious activities in accordance with applicable laws.</w:t>
      </w:r>
    </w:p>
    <w:sectPr w:rsidR="0015287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0321980">
    <w:abstractNumId w:val="8"/>
  </w:num>
  <w:num w:numId="2" w16cid:durableId="183595152">
    <w:abstractNumId w:val="6"/>
  </w:num>
  <w:num w:numId="3" w16cid:durableId="137457295">
    <w:abstractNumId w:val="5"/>
  </w:num>
  <w:num w:numId="4" w16cid:durableId="374043851">
    <w:abstractNumId w:val="4"/>
  </w:num>
  <w:num w:numId="5" w16cid:durableId="68117908">
    <w:abstractNumId w:val="7"/>
  </w:num>
  <w:num w:numId="6" w16cid:durableId="1486044286">
    <w:abstractNumId w:val="3"/>
  </w:num>
  <w:num w:numId="7" w16cid:durableId="1336617021">
    <w:abstractNumId w:val="2"/>
  </w:num>
  <w:num w:numId="8" w16cid:durableId="447243227">
    <w:abstractNumId w:val="1"/>
  </w:num>
  <w:num w:numId="9" w16cid:durableId="1366636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5287D"/>
    <w:rsid w:val="0029639D"/>
    <w:rsid w:val="00326F90"/>
    <w:rsid w:val="00497975"/>
    <w:rsid w:val="00AA1D8D"/>
    <w:rsid w:val="00B47730"/>
    <w:rsid w:val="00CB0664"/>
    <w:rsid w:val="00DE306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B89F82"/>
  <w14:defaultImageDpi w14:val="300"/>
  <w15:docId w15:val="{BDE995A1-7D65-4BDE-81E7-0767C6FB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399</Words>
  <Characters>2277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Daniel Moore</cp:lastModifiedBy>
  <cp:revision>2</cp:revision>
  <dcterms:created xsi:type="dcterms:W3CDTF">2025-07-07T18:32:00Z</dcterms:created>
  <dcterms:modified xsi:type="dcterms:W3CDTF">2025-07-07T18:32:00Z</dcterms:modified>
  <cp:category/>
</cp:coreProperties>
</file>